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before="156" w:beforeLines="50" w:after="156" w:afterLines="50" w:line="400" w:lineRule="exact"/>
        <w:jc w:val="center"/>
        <w:outlineLvl w:val="2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  综合评分表</w:t>
      </w:r>
    </w:p>
    <w:tbl>
      <w:tblPr>
        <w:tblStyle w:val="2"/>
        <w:tblW w:w="910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28"/>
        <w:gridCol w:w="4534"/>
        <w:gridCol w:w="992"/>
        <w:gridCol w:w="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评审部分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评审因素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评分细则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权重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一</w:t>
            </w:r>
          </w:p>
        </w:tc>
        <w:tc>
          <w:tcPr>
            <w:tcW w:w="8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对项目的总体内容和思路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总体框架思路清晰、目标明确，对服务的各项工作和要求理解到位，符合本项目要求为优，得10分；</w:t>
            </w:r>
          </w:p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总体框架思路较清晰、目标较明确，基本理解服务的各项工作，基本符合项目要求为良，得6分；</w:t>
            </w:r>
          </w:p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总体框架思路不够清晰、目标不够明确，能但不完全理解服务的各项工作，不完全符合项目要求为一般，得3分；</w:t>
            </w:r>
          </w:p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能提出基本的框架思路，但不清晰，无明确目标，对项目的各项工作理解有偏差为差，得1分。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对项目的理解及认识程度，对项目重点、难点的把握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理解充分，满足项目要求，得10分；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理解比较充分，满足项目要求，得6分；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理解一般，得3分；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理解较差，得1分。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组织实施方案（针对本项目提供具体、可行、详细的服务方案，满足项目需求）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方案可行，针对性强，对比优秀，得10分；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方案一般，针对性一般，对比一般，得6分；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方案较差，针对性较差，对比较差，得3分；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无或其他得0分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组织管理、进度安排、质量和服务的目标和承诺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能满足招标人的时间进度要求，质量目标和跟踪服务能满足招标文件和用户的要求，质量、服务等有关承诺具体的为优，得10分；</w:t>
            </w:r>
          </w:p>
          <w:p>
            <w:pPr>
              <w:spacing w:line="360" w:lineRule="exact"/>
              <w:ind w:left="34" w:leftChars="16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能满足或基本满足招标人的时间进度要求，质量目标和跟踪服务能满足招标文件和用户的要求，质量、服务等有关承诺一般的为良，得6分；</w:t>
            </w:r>
          </w:p>
          <w:p>
            <w:pPr>
              <w:spacing w:line="360" w:lineRule="exact"/>
              <w:ind w:left="31" w:leftChars="15" w:right="34" w:rightChars="16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不能满足招标人时间要求，质量目标和跟踪服务不能满足招标文件和用户的要求的为一般，得3分。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exact"/>
              <w:ind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针对本项目的合理化建议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有突出重点、难点工作，提出切实可行的合理化建议，得10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基本了解重点、难点工作，提出合理化的建议，得6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列出重点、难点工作，但提出的建议不够合理，得3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分；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不能提出合理化建议得0分。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</w:t>
            </w:r>
          </w:p>
        </w:tc>
        <w:tc>
          <w:tcPr>
            <w:tcW w:w="8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商务部分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63" w:leftChars="-30" w:right="-88" w:rightChars="-42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2017年至今同类业绩经验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63" w:leftChars="-30" w:right="-88" w:rightChars="-4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2017年至今承接过同类项目的，每提供一项得2分，本项最高得10分。</w:t>
            </w:r>
          </w:p>
          <w:p>
            <w:pPr>
              <w:spacing w:line="360" w:lineRule="exact"/>
              <w:ind w:left="-63" w:leftChars="-30" w:right="-88" w:rightChars="-4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备注：请附上合同关键页（含签订合同双方的单位名称、合同项目名称、与含签订合同双方的落款盖章、签订日期的关键页）复印件作为同类业绩评价证明资料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或提供其他承办重大活动相关证明资料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63" w:leftChars="-30" w:right="-88" w:rightChars="-42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投标人的综合实力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投标人的业务水平和服务效率高，服务质量好的为优，得5分；</w:t>
            </w:r>
          </w:p>
          <w:p>
            <w:pPr>
              <w:spacing w:line="360" w:lineRule="exact"/>
              <w:ind w:left="-78" w:leftChars="-37" w:right="-73" w:rightChars="-35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投标人具有一定的业务水平和服务效率，服务质量良好的为良，得3分；</w:t>
            </w:r>
          </w:p>
          <w:p>
            <w:pPr>
              <w:spacing w:line="360" w:lineRule="exact"/>
              <w:ind w:left="-78" w:leftChars="-37" w:right="-73" w:rightChars="-35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投标人具有一定的组织架构但缺乏合理性，业务水平一般，服务效率较低，服务质量一般的为差，得1分。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本项目团队实力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本项目服务人员的数量、资质、经验对比为优得5</w:t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分；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本项目服务人员的数量、资质、经验对比为良得3</w:t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分；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本项目服务人员的数量、资质、经验对比为一般得1</w:t>
            </w: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分。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备注：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</w:t>
            </w:r>
          </w:p>
        </w:tc>
        <w:tc>
          <w:tcPr>
            <w:tcW w:w="8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价格部分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投标报价</w:t>
            </w: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价格分应当采用平均价优先法计算，即满足招标文件要求且投标价格的投标报价的平均值为评标基准价，其价格分为满分。其他投标人的价格分统一按照下列公式计算：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投标报价得分=(评标基准价／投标报价)×100</w:t>
            </w:r>
          </w:p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备注：投标报价得分四舍五入后，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小数点后保留两位有效数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；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%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100分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78" w:leftChars="-37" w:right="-73" w:rightChars="-3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100%</w:t>
            </w:r>
          </w:p>
        </w:tc>
      </w:tr>
    </w:tbl>
    <w:p>
      <w:pPr>
        <w:snapToGrid w:val="0"/>
        <w:spacing w:line="360" w:lineRule="exact"/>
        <w:rPr>
          <w:rFonts w:hint="eastAsia" w:ascii="仿宋" w:hAnsi="仿宋" w:eastAsia="仿宋" w:cs="宋体"/>
          <w:snapToGrid w:val="0"/>
          <w:kern w:val="0"/>
          <w:sz w:val="28"/>
          <w:szCs w:val="28"/>
        </w:rPr>
      </w:pPr>
    </w:p>
    <w:p>
      <w:pPr>
        <w:snapToGrid w:val="0"/>
        <w:spacing w:line="360" w:lineRule="exact"/>
        <w:rPr>
          <w:rFonts w:hint="eastAsia" w:ascii="仿宋" w:hAnsi="仿宋" w:eastAsia="仿宋" w:cs="宋体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0"/>
          <w:sz w:val="28"/>
          <w:szCs w:val="28"/>
        </w:rPr>
        <w:t>备注：</w:t>
      </w:r>
    </w:p>
    <w:p>
      <w:pPr>
        <w:numPr>
          <w:ilvl w:val="0"/>
          <w:numId w:val="0"/>
        </w:numPr>
        <w:snapToGrid w:val="0"/>
        <w:spacing w:line="360" w:lineRule="exact"/>
        <w:ind w:firstLine="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bCs/>
          <w:sz w:val="28"/>
          <w:szCs w:val="28"/>
        </w:rPr>
        <w:t>招标文件要求提交的与评价指标体系相关的各类有效资料，投标人如未按要求提交的，该项评分为零分。</w:t>
      </w:r>
    </w:p>
    <w:p>
      <w:pPr>
        <w:numPr>
          <w:ilvl w:val="0"/>
          <w:numId w:val="0"/>
        </w:numPr>
        <w:snapToGrid w:val="0"/>
        <w:spacing w:line="360" w:lineRule="exact"/>
        <w:ind w:left="0" w:firstLine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Cs/>
          <w:sz w:val="28"/>
          <w:szCs w:val="28"/>
        </w:rPr>
        <w:t>技术、商务评分：评标委员会各成员分值的算术平均值（四舍五入后，</w:t>
      </w:r>
      <w:r>
        <w:rPr>
          <w:rFonts w:hint="eastAsia" w:ascii="仿宋" w:hAnsi="仿宋" w:eastAsia="仿宋" w:cs="Arial"/>
          <w:sz w:val="28"/>
          <w:szCs w:val="28"/>
        </w:rPr>
        <w:t>小数点后保留两位有效数</w:t>
      </w:r>
      <w:r>
        <w:rPr>
          <w:rFonts w:hint="eastAsia" w:ascii="仿宋" w:hAnsi="仿宋" w:eastAsia="仿宋"/>
          <w:bCs/>
          <w:sz w:val="28"/>
          <w:szCs w:val="28"/>
        </w:rPr>
        <w:t>）。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14A5A"/>
    <w:multiLevelType w:val="multilevel"/>
    <w:tmpl w:val="24714A5A"/>
    <w:lvl w:ilvl="0" w:tentative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2D25F0"/>
    <w:multiLevelType w:val="multilevel"/>
    <w:tmpl w:val="7C2D25F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2021-07-13T03:09:31Z</dcterms:created>
  <dc:creator>Tilo1</dc:creator>
  <cp:lastModifiedBy>陶杨</cp:lastModifiedBy>
  <dcterms:modified xsi:type="dcterms:W3CDTF">2021-07-13T03:09:46Z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D255C0E8AE04494CB079E29AB43AB91E</vt:lpwstr>
  </property>
</Properties>
</file>